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учреждение высшего образования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«Крымский федеральный университет имени В. И. Вернадского»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(ФГАОУ ВО «КФУ им. В. И. Вернадского»)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Институт филологии, направленности Социолингвистика (французский язык).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«Характеристики и особенности песенного дискурса как лингвистического явления»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выполнила: Абрамова Е.А.,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2 курса очной формы обучения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подготовки 45.04.01 Филология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Соцолингвистика (французский язык)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Симферополь, 2022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Введение...............................................................................................................3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Песенный дискурс как лингвистическое явление............................................4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Заключение...........................................................................................................7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источников.................................................................8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lang w:val="ru-RU"/>
        </w:rPr>
        <w:t>Песенный дискурс на данный момент является одним из самых востребованных и наиболее актуальных предметов лингвистического исследования. Во-первых, это объясняется тем, что в современной науке о языке относительно мало работ, связанных с этой темой, и, по этой причине, отсутствуют общепринятый терминологический аппарат, а также набор методов для решения поставленных проблем. Во-вторых, как многоаспектное явление песенный дискурс представляет широкое поле для своего изучения в пределах отдельных лингвистических дисциплин. В-третьих, с древности музыка является одним из основных и наиболее распространённых направлений искусства в любой стране и культуре, используемым людьми для выражения своих чувств и эмоций. Иными словами можно сказать, что песенный дискурс представляет собой «симбиоз языка и культуры».</w:t>
      </w: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Песенный дискурс как лингвистическое явление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lang w:val="ru-RU"/>
        </w:rPr>
        <w:t>Музыкальный дискурс предполагает лингвистический анализ экстрамузыкальных ситуаций. Е.В. Алешинская и Е.С. Гриценко определяют его как «социальную практику», т. е. такую категорию, которая обозначает своеобразные методы репрезентации специфических компонентов музыкальной жизни. Таким образом, музыкальный дискурс состоит из следующих элементов:</w:t>
      </w:r>
    </w:p>
    <w:p>
      <w:pPr>
        <w:pStyle w:val="4"/>
        <w:numPr>
          <w:ilvl w:val="0"/>
          <w:numId w:val="1"/>
        </w:numPr>
        <w:shd w:val="clear" w:color="auto" w:fill="FFFFFF" w:themeFill="background1"/>
        <w:spacing w:beforeAutospacing="0" w:afterAutospacing="0" w:line="360" w:lineRule="auto"/>
        <w:ind w:left="0" w:firstLine="709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lang w:val="ru-RU"/>
        </w:rPr>
        <w:t>процесс формирования</w:t>
      </w:r>
      <w:r>
        <w:rPr>
          <w:rFonts w:eastAsia="sans-serif"/>
          <w:sz w:val="28"/>
          <w:szCs w:val="28"/>
        </w:rPr>
        <w:t> </w:t>
      </w:r>
      <w:r>
        <w:rPr>
          <w:rFonts w:eastAsia="sans-serif"/>
          <w:sz w:val="28"/>
          <w:szCs w:val="28"/>
          <w:lang w:val="ru-RU"/>
        </w:rPr>
        <w:t>музыкального</w:t>
      </w:r>
      <w:r>
        <w:rPr>
          <w:rFonts w:eastAsia="sans-serif"/>
          <w:sz w:val="28"/>
          <w:szCs w:val="28"/>
        </w:rPr>
        <w:t> </w:t>
      </w:r>
      <w:r>
        <w:rPr>
          <w:rFonts w:eastAsia="sans-serif"/>
          <w:sz w:val="28"/>
          <w:szCs w:val="28"/>
          <w:lang w:val="ru-RU"/>
        </w:rPr>
        <w:t>текста;</w:t>
      </w:r>
    </w:p>
    <w:p>
      <w:pPr>
        <w:pStyle w:val="4"/>
        <w:numPr>
          <w:ilvl w:val="0"/>
          <w:numId w:val="1"/>
        </w:numPr>
        <w:shd w:val="clear" w:color="auto" w:fill="FFFFFF" w:themeFill="background1"/>
        <w:spacing w:beforeAutospacing="0" w:afterAutospacing="0" w:line="360" w:lineRule="auto"/>
        <w:ind w:left="0" w:firstLine="709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lang w:val="ru-RU"/>
        </w:rPr>
        <w:t>сам</w:t>
      </w:r>
      <w:r>
        <w:rPr>
          <w:rFonts w:eastAsia="sans-serif"/>
          <w:sz w:val="28"/>
          <w:szCs w:val="28"/>
        </w:rPr>
        <w:t> </w:t>
      </w:r>
      <w:r>
        <w:rPr>
          <w:rFonts w:eastAsia="sans-serif"/>
          <w:sz w:val="28"/>
          <w:szCs w:val="28"/>
          <w:lang w:val="ru-RU"/>
        </w:rPr>
        <w:t>текст</w:t>
      </w:r>
      <w:r>
        <w:rPr>
          <w:rFonts w:eastAsia="sans-serif"/>
          <w:sz w:val="28"/>
          <w:szCs w:val="28"/>
        </w:rPr>
        <w:t> </w:t>
      </w:r>
      <w:r>
        <w:rPr>
          <w:rFonts w:eastAsia="sans-serif"/>
          <w:sz w:val="28"/>
          <w:szCs w:val="28"/>
          <w:lang w:val="ru-RU"/>
        </w:rPr>
        <w:t>и его</w:t>
      </w:r>
      <w:r>
        <w:rPr>
          <w:rFonts w:eastAsia="sans-serif"/>
          <w:sz w:val="28"/>
          <w:szCs w:val="28"/>
        </w:rPr>
        <w:t> </w:t>
      </w:r>
      <w:r>
        <w:rPr>
          <w:rFonts w:eastAsia="sans-serif"/>
          <w:sz w:val="28"/>
          <w:szCs w:val="28"/>
          <w:lang w:val="ru-RU"/>
        </w:rPr>
        <w:t>изучение;</w:t>
      </w:r>
    </w:p>
    <w:p>
      <w:pPr>
        <w:pStyle w:val="4"/>
        <w:numPr>
          <w:ilvl w:val="0"/>
          <w:numId w:val="1"/>
        </w:numPr>
        <w:shd w:val="clear" w:color="auto" w:fill="FFFFFF" w:themeFill="background1"/>
        <w:spacing w:beforeAutospacing="0" w:afterAutospacing="0" w:line="360" w:lineRule="auto"/>
        <w:ind w:left="0" w:firstLine="709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lang w:val="ru-RU"/>
        </w:rPr>
        <w:t>существующие, а также потенциально вероятные трактовки музыкального текста;</w:t>
      </w:r>
    </w:p>
    <w:p>
      <w:pPr>
        <w:pStyle w:val="4"/>
        <w:numPr>
          <w:ilvl w:val="0"/>
          <w:numId w:val="1"/>
        </w:numPr>
        <w:shd w:val="clear" w:color="auto" w:fill="FFFFFF" w:themeFill="background1"/>
        <w:spacing w:beforeAutospacing="0" w:afterAutospacing="0" w:line="360" w:lineRule="auto"/>
        <w:ind w:left="0" w:firstLine="709"/>
        <w:jc w:val="both"/>
        <w:rPr>
          <w:rFonts w:eastAsia="sans-serif"/>
          <w:sz w:val="28"/>
          <w:szCs w:val="28"/>
          <w:lang w:val="ru-RU"/>
        </w:rPr>
      </w:pPr>
      <w:r>
        <w:rPr>
          <w:rFonts w:eastAsia="sans-serif"/>
          <w:sz w:val="28"/>
          <w:szCs w:val="28"/>
          <w:lang w:val="ru-RU"/>
        </w:rPr>
        <w:t>восприятие музыкального текста и его трактовку, значение и роль в культуре</w:t>
      </w:r>
    </w:p>
    <w:p>
      <w:pPr>
        <w:pStyle w:val="4"/>
        <w:shd w:val="clear" w:color="auto" w:fill="FFFFFF" w:themeFill="background1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 w:themeFill="background1"/>
          <w:lang w:val="ru-RU"/>
        </w:rPr>
        <w:t>Основополагающая специфика музыкально-поэтического дискурса, это  то, что в силу особенности структуры своего содержания необходимо, чтобы он воспринимался реципиентом на слух, а не визуально.</w:t>
      </w:r>
      <w:r>
        <w:rPr>
          <w:sz w:val="28"/>
          <w:szCs w:val="28"/>
          <w:lang w:val="ru-RU"/>
        </w:rPr>
        <w:t xml:space="preserve"> В ситуации музыкально-поэтического дискурса трактовка сообщения происходит в рамках более широкого контекста музыкальных, визуальных и вербальных указателей, в связи с чем, песенный текст должен быть именно услышан, а не прочтен. В рамках исследования дискурсивного пространства песен наиболее релевантным термином для лингвистического исследования представляется «песенный дискурс», поскольку в области исследования пребывает непосредственно тексты песен.</w:t>
      </w:r>
    </w:p>
    <w:p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песенного текста в рамках лингвокультурологического подхода стоит понимать его как важнейшую функционирующую культурную единицу. Каждая составляющая текста лексема и их совокупность обладают определенной культурологической функцией, являются частью культуры социума, выражая определенную этнокультурную коннотацию. Лингвистическая наука стремится осмыслить феномен культуры как особой формы существования человека и общества в мире, этим объясняется активное развитие лингвокультурологического подхода. «Язык при этом выступает в роли средства конструирования и интерпретации социальной реальности, в том числе культуры, этничности, менталитета».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Динамичность развития речевых явлений в современном обществе и преимущественный интерес к вопросам взаимодействия человека и культуры в научных исследованиях обусловливает наш интерес к песенному тексту. Как известно, язык «встроен» в культуру, он сформировывает культурный фон в обществе, поэтому языковую составляющую песни, ее особые свойства и функции необходимо анализировать в лингвокультурологическом аспекте. Текст является неотъемлемой частью культуры, так как «культура существует в форме текстов – знаковых произведений духовной деятельности человека».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посредством текста происходит слияние лингвистики с культурологией, появляется новая дисциплина – лингвокультурология. В данной дисциплине наряду с иными способами выражения культуры (фольклор, литература и т.д.) значимое место занимает песня. «Песенный дискурс – это особая форма хранения культурных знаний &lt;...&gt; песня является «зеркалом жизни», которое отражает основные ценности, этические воззрения, социальные представления, общественные изменения и стереотипы эпохи, создает модели поведения и культурные нормы». Аудитория песенного искусства поистине широка. Действительно, песня как материал для исследования культурного своеобразия, как фрагмент национальных языковых картин мира, представляет большую ценность.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лингвокультурологический аспект изучения песенного текста позволяет нам посредством анализа языка, семантической функции языковой единицы, выявления ее стилистической окраски, обнаружить состояние и особенности современной массовой культуры. Песенный текст как форма существования культуры сосредотачивает в себе актуальные для современного общества темы и идеи, при этом как часть массовой культуры, обладает доступностью и легкостью в интерпретации. Автор в своем тексте транслирует общее посредством частного, затрагивает «глобальное» посредством конкретной ситуации, и в этом смысле, несомненно, является выразителем культурных смыслов, картины мира современного ему общества.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hd w:val="clear" w:color="auto" w:fill="FFFFFF" w:themeFill="background1"/>
        <w:spacing w:beforeAutospacing="0" w:afterAutospacing="0" w:line="360" w:lineRule="auto"/>
        <w:ind w:left="709"/>
        <w:jc w:val="both"/>
        <w:rPr>
          <w:rFonts w:eastAsia="sans-serif"/>
          <w:sz w:val="28"/>
          <w:szCs w:val="28"/>
          <w:lang w:val="ru-RU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Дуняшева, Л.Г., Гриценко Е.С. Конструирование гендера в блюзе и рэпе: глобальное и локальное: монография. Нижний Новгород, 2013.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10-213.</w:t>
      </w:r>
    </w:p>
    <w:p>
      <w:pPr>
        <w:numPr>
          <w:ilvl w:val="0"/>
          <w:numId w:val="2"/>
        </w:numPr>
        <w:spacing w:after="0" w:line="360" w:lineRule="auto"/>
        <w:ind w:lef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Кислицына, Н. Н. Коннотативное значение слова как дифференциальный компонент национальных языковых картин мира / Н. Н. Кислицына // Англистика ХХI века : Сборник статей по материалам VIII научно-методической конференции, посвященной памяти профессора С.В. Воронина, Санкт-Петербург, 20–22 января 2016 года. – Санкт-Петербург: АНО "Университетские Образовательные Округа", 2016. – С. 153-158.</w:t>
      </w:r>
    </w:p>
    <w:p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Кислицына, Н. Н. О месте коннотативного значения в семантической структуре слова // Ученые записки Таврического национального университета им. В. И. Вернадского. Серия «Филология. Социальные коммуникации». – Т. 24 (63). – № 4. – Ч.2. – 2011. – 129-136.</w:t>
      </w:r>
    </w:p>
    <w:p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Кислицына, Н.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ru-RU"/>
        </w:rPr>
        <w:t xml:space="preserve"> Симбиоз языка и культуры: антрополингвистический, этно- и социолингвистический аспекты //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Вестник МГПУ </w:t>
      </w:r>
      <w:r>
        <w:rPr>
          <w:rFonts w:ascii="Times New Roman" w:hAnsi="Times New Roman" w:cs="Times New Roman"/>
          <w:sz w:val="28"/>
          <w:szCs w:val="28"/>
        </w:rPr>
        <w:t xml:space="preserve">Серия «Филология. Теория языка. Языковое образование».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4 (28) . –  2017. –  С. 56-63.</w:t>
      </w:r>
    </w:p>
    <w:p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Мурзин, Л.Н. Язык, текст и культура / Л.Н. Мурзин // Человек – текст – культура. – Екатеринбург: ИРРО, 1994. – С. 160-169.</w:t>
      </w:r>
    </w:p>
    <w:p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Носкова, А.Н., Газизова, Л.Г., Дуняшева, Л.Г. Национально-культурная семантика лексических единиц, отражающих формы трудовой деятельности (на материале венесуализмов и никарагуэнсизмов) // Филология и культура (Philology and Culture). 2017. № 4 (50). – С. 44-50.</w:t>
      </w:r>
    </w:p>
    <w:p>
      <w:pPr>
        <w:ind w:left="710"/>
      </w:pPr>
    </w:p>
    <w:sectPr>
      <w:pgSz w:w="11906" w:h="16838"/>
      <w:pgMar w:top="1440" w:right="707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54963"/>
    <w:multiLevelType w:val="singleLevel"/>
    <w:tmpl w:val="1C4549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65E5609"/>
    <w:multiLevelType w:val="multilevel"/>
    <w:tmpl w:val="765E5609"/>
    <w:lvl w:ilvl="0" w:tentative="0">
      <w:start w:val="1"/>
      <w:numFmt w:val="bullet"/>
      <w:lvlText w:val="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0ACB"/>
    <w:rsid w:val="002F768B"/>
    <w:rsid w:val="0048346B"/>
    <w:rsid w:val="005328FC"/>
    <w:rsid w:val="00DB2EDB"/>
    <w:rsid w:val="04B97488"/>
    <w:rsid w:val="1F8E1B38"/>
    <w:rsid w:val="23B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1074</Words>
  <Characters>6122</Characters>
  <Lines>51</Lines>
  <Paragraphs>14</Paragraphs>
  <TotalTime>7</TotalTime>
  <ScaleCrop>false</ScaleCrop>
  <LinksUpToDate>false</LinksUpToDate>
  <CharactersWithSpaces>7182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2022-04-06T13:22:00Z</dcterms:created>
  <dc:creator>Елена Абрамова</dc:creator>
  <cp:lastModifiedBy>Елена Абрамова</cp:lastModifiedBy>
  <dcterms:modified xsi:type="dcterms:W3CDTF">2022-04-06T13:36:37Z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351295D10982410FA09B9E19043AE391</vt:lpwstr>
  </property>
</Properties>
</file>